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Autospacing="0" w:afterAutospacing="0"/>
        <w:jc w:val="center"/>
        <w:rPr>
          <w:rStyle w:val="9"/>
          <w:rFonts w:ascii="仿宋_GB2312" w:hAnsi="方正小标宋_GBK" w:eastAsia="仿宋_GB2312" w:cs="方正小标宋_GBK"/>
          <w:iCs/>
          <w:color w:val="000000" w:themeColor="text1"/>
          <w:sz w:val="32"/>
          <w:szCs w:val="32"/>
        </w:rPr>
      </w:pPr>
      <w:r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</w:rPr>
        <w:t>“</w:t>
      </w:r>
      <w:r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pacing w:val="15"/>
          <w:sz w:val="32"/>
          <w:szCs w:val="32"/>
        </w:rPr>
        <w:t>登峰问鼎，共铸梦想</w:t>
      </w:r>
      <w:r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</w:rPr>
        <w:t>”</w:t>
      </w:r>
    </w:p>
    <w:p>
      <w:pPr>
        <w:pStyle w:val="5"/>
        <w:widowControl/>
        <w:adjustRightInd w:val="0"/>
        <w:snapToGrid w:val="0"/>
        <w:spacing w:beforeAutospacing="0" w:afterAutospacing="0"/>
        <w:jc w:val="center"/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</w:rPr>
      </w:pPr>
      <w:r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</w:rPr>
        <w:t>中信泰富特钢集团股份有限公司2021</w:t>
      </w:r>
      <w:r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  <w:lang w:val="en-US" w:eastAsia="zh-CN"/>
        </w:rPr>
        <w:t>春季</w:t>
      </w:r>
      <w:bookmarkStart w:id="0" w:name="_GoBack"/>
      <w:bookmarkEnd w:id="0"/>
      <w:r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</w:rPr>
        <w:t>校园招聘启事</w:t>
      </w:r>
    </w:p>
    <w:p>
      <w:pPr>
        <w:pStyle w:val="5"/>
        <w:widowControl/>
        <w:adjustRightInd w:val="0"/>
        <w:snapToGrid w:val="0"/>
        <w:spacing w:beforeAutospacing="0" w:afterAutospacing="0"/>
        <w:jc w:val="center"/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</w:rPr>
      </w:pPr>
    </w:p>
    <w:p>
      <w:pPr>
        <w:pStyle w:val="5"/>
        <w:widowControl/>
        <w:adjustRightInd w:val="0"/>
        <w:snapToGrid w:val="0"/>
        <w:spacing w:beforeAutospacing="0" w:afterAutospacing="0"/>
        <w:jc w:val="center"/>
        <w:rPr>
          <w:rStyle w:val="9"/>
          <w:rFonts w:hint="eastAsia" w:ascii="仿宋_GB2312" w:hAnsi="方正小标宋_GBK" w:eastAsia="仿宋_GB2312" w:cs="方正小标宋_GBK"/>
          <w:iCs/>
          <w:color w:val="000000" w:themeColor="text1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中信泰富特钢集团股份有限公司</w:t>
      </w:r>
      <w:r>
        <w:rPr>
          <w:rFonts w:hint="eastAsia" w:ascii="仿宋_GB2312" w:hAnsi="仿宋_GB2312" w:eastAsia="仿宋_GB2312" w:cs="仿宋_GB2312"/>
        </w:rPr>
        <w:t>（股票代码：0</w:t>
      </w:r>
      <w:r>
        <w:rPr>
          <w:rFonts w:ascii="仿宋_GB2312" w:hAnsi="仿宋_GB2312" w:eastAsia="仿宋_GB2312" w:cs="仿宋_GB2312"/>
        </w:rPr>
        <w:t>00708</w:t>
      </w:r>
      <w:r>
        <w:rPr>
          <w:rFonts w:hint="eastAsia" w:ascii="仿宋_GB2312" w:hAnsi="仿宋_GB2312" w:eastAsia="仿宋_GB2312" w:cs="仿宋_GB2312"/>
        </w:rPr>
        <w:t>），隶属于中国中信股份有限公司，是中国特钢企业协会会长单位、中国钢铁工业协会副会长单位。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集团旗下有兴澄特钢、大冶特钢、青岛特钢、靖江特钢“四大精品特殊钢制造基地”，铜陵特材、扬州特材“两大原材料生产基地”，泰富悬架、浙江钢管“两大产业链延伸基地”，形成了沿海沿江产业链的战略布局。集团具备年产1,400多万吨特殊钢生产能力，产品长期占据汽车制造、航空航天、轨道交通、建筑桥梁、工程机械、风电核能、船舶海洋等领域高端特钢原材料供应市场，</w:t>
      </w:r>
      <w:r>
        <w:rPr>
          <w:rFonts w:hint="eastAsia" w:ascii="仿宋_GB2312" w:hAnsi="仿宋_GB2312" w:eastAsia="仿宋_GB2312" w:cs="仿宋_GB2312"/>
          <w:lang w:val="en-US" w:eastAsia="zh-CN"/>
        </w:rPr>
        <w:t>拥有13个独立海外代表处，产品</w:t>
      </w:r>
      <w:r>
        <w:rPr>
          <w:rFonts w:hint="eastAsia" w:ascii="仿宋_GB2312" w:hAnsi="仿宋_GB2312" w:eastAsia="仿宋_GB2312" w:cs="仿宋_GB2312"/>
        </w:rPr>
        <w:t>远销美国、日韩、欧州等60多个国家和地区。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rFonts w:ascii="仿宋_GB2312" w:hAnsi="仿宋_GB2312" w:eastAsia="仿宋_GB2312" w:cs="仿宋_GB231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62" w:afterLines="20" w:afterAutospacing="0" w:line="360" w:lineRule="auto"/>
        <w:jc w:val="center"/>
        <w:textAlignment w:val="auto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【攀登者们！规划路线我们都为您考虑好了】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0"/>
        <w:jc w:val="both"/>
        <w:textAlignment w:val="auto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攀登线路——多样的职业发展通道：</w:t>
      </w:r>
      <w:r>
        <w:rPr>
          <w:rFonts w:hint="eastAsia" w:ascii="仿宋_GB2312" w:hAnsi="仿宋_GB2312" w:eastAsia="仿宋_GB2312" w:cs="仿宋_GB2312"/>
        </w:rPr>
        <w:t>登山行动系列学习成才计划和管理、技术、技能三通道构成了完整的人才发展学习地图。匹配导师制、竞岗制、后备人才计划、关键人才结对等机制，专注提升综合能力，助推职业生涯快速发展；</w:t>
      </w:r>
      <w:r>
        <w:rPr>
          <w:rFonts w:ascii="仿宋_GB2312" w:hAnsi="仿宋_GB2312" w:eastAsia="仿宋_GB2312" w:cs="仿宋_GB2312"/>
          <w:b/>
          <w:bCs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0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攀登集结——专业的培训学习机制：</w:t>
      </w:r>
      <w:r>
        <w:rPr>
          <w:rFonts w:hint="eastAsia" w:ascii="仿宋_GB2312" w:hAnsi="仿宋_GB2312" w:eastAsia="仿宋_GB2312" w:cs="仿宋_GB2312"/>
        </w:rPr>
        <w:t>内部拥有中信特钢学院丰富的培训课程资源，秉承“岗位人人都能成才”和“像办学校一样办企业”的培养宗旨，提供全面而完备的培训体系和交流学习机会；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攀登供给——健全的薪酬福利体系：</w:t>
      </w:r>
      <w:r>
        <w:rPr>
          <w:rFonts w:hint="eastAsia" w:ascii="仿宋_GB2312" w:hAnsi="仿宋_GB2312" w:eastAsia="仿宋_GB2312" w:cs="仿宋_GB2312"/>
        </w:rPr>
        <w:t>提供行业</w:t>
      </w:r>
      <w:r>
        <w:rPr>
          <w:rFonts w:hint="eastAsia" w:ascii="仿宋_GB2312" w:hAnsi="微软雅黑" w:eastAsia="仿宋_GB2312" w:cs="微软雅黑"/>
        </w:rPr>
        <w:t>内</w:t>
      </w:r>
      <w:r>
        <w:rPr>
          <w:rFonts w:hint="eastAsia" w:ascii="仿宋_GB2312" w:hAnsi="___WRD_EMBED_SUB_39" w:eastAsia="仿宋_GB2312" w:cs="___WRD_EMBED_SUB_39"/>
        </w:rPr>
        <w:t>具有竞</w:t>
      </w:r>
      <w:r>
        <w:rPr>
          <w:rFonts w:hint="eastAsia" w:ascii="仿宋_GB2312" w:hAnsi="微软雅黑" w:eastAsia="仿宋_GB2312" w:cs="微软雅黑"/>
        </w:rPr>
        <w:t>争</w:t>
      </w:r>
      <w:r>
        <w:rPr>
          <w:rFonts w:hint="eastAsia" w:ascii="仿宋_GB2312" w:hAnsi="___WRD_EMBED_SUB_39" w:eastAsia="仿宋_GB2312" w:cs="___WRD_EMBED_SUB_39"/>
        </w:rPr>
        <w:t>力的薪酬且</w:t>
      </w:r>
      <w:r>
        <w:rPr>
          <w:rFonts w:hint="eastAsia" w:ascii="仿宋_GB2312" w:hAnsi="仿宋_GB2312" w:eastAsia="仿宋_GB2312" w:cs="仿宋_GB2312"/>
        </w:rPr>
        <w:t>每年增长</w:t>
      </w:r>
      <w:r>
        <w:rPr>
          <w:rFonts w:hint="eastAsia" w:ascii="仿宋_GB2312" w:hAnsi="___WRD_EMBED_SUB_39" w:eastAsia="仿宋_GB2312" w:cs="___WRD_EMBED_SUB_39"/>
        </w:rPr>
        <w:t>；</w:t>
      </w:r>
      <w:r>
        <w:rPr>
          <w:rFonts w:hint="eastAsia" w:ascii="仿宋_GB2312" w:hAnsi="仿宋_GB2312" w:eastAsia="仿宋_GB2312" w:cs="仿宋_GB2312"/>
        </w:rPr>
        <w:t>除法定社保公积金外，附加中信年金、补充医疗保险、中信商业医疗保险、安家费补贴、长期服务奖、节假福利、旅游基金等全方位保障体系。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0"/>
        <w:textAlignment w:val="auto"/>
        <w:rPr>
          <w:rFonts w:hint="eastAsia" w:ascii="仿宋_GB2312" w:hAnsi="仿宋_GB2312" w:eastAsia="仿宋_GB2312" w:cs="仿宋_GB2312"/>
          <w:b/>
          <w:bCs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62" w:afterLines="20" w:afterAutospacing="0" w:line="360" w:lineRule="auto"/>
        <w:jc w:val="center"/>
        <w:textAlignment w:val="auto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【登山营地】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62" w:afterLines="20" w:afterAutospacing="0" w:line="360" w:lineRule="auto"/>
        <w:jc w:val="center"/>
        <w:textAlignment w:val="auto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兴澄特钢（江苏江阴） </w:t>
      </w:r>
      <w:r>
        <w:rPr>
          <w:rFonts w:ascii="仿宋_GB2312" w:hAnsi="仿宋_GB2312" w:eastAsia="仿宋_GB2312" w:cs="仿宋_GB2312"/>
          <w:b/>
          <w:bCs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</w:rPr>
        <w:t>大冶特钢（湖北黄石）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62" w:afterLines="20" w:afterAutospacing="0" w:line="360" w:lineRule="auto"/>
        <w:jc w:val="center"/>
        <w:textAlignment w:val="auto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青岛特钢（山东青岛） </w:t>
      </w:r>
      <w:r>
        <w:rPr>
          <w:rFonts w:ascii="仿宋_GB2312" w:hAnsi="仿宋_GB2312" w:eastAsia="仿宋_GB2312" w:cs="仿宋_GB2312"/>
          <w:b/>
          <w:bCs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</w:rPr>
        <w:t>靖江特钢（江苏靖江）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62" w:afterLines="20" w:afterAutospacing="0" w:line="360" w:lineRule="auto"/>
        <w:jc w:val="center"/>
        <w:textAlignment w:val="auto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铜陵特材（安徽铜陵） </w:t>
      </w:r>
      <w:r>
        <w:rPr>
          <w:rFonts w:ascii="仿宋_GB2312" w:hAnsi="仿宋_GB2312" w:eastAsia="仿宋_GB2312" w:cs="仿宋_GB2312"/>
          <w:b/>
          <w:bCs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</w:rPr>
        <w:t>扬州特材（江苏扬州）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62" w:afterLines="20" w:afterAutospacing="0" w:line="360" w:lineRule="auto"/>
        <w:jc w:val="center"/>
        <w:textAlignment w:val="auto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泰富悬架（山东济南） </w:t>
      </w:r>
      <w:r>
        <w:rPr>
          <w:rFonts w:ascii="仿宋_GB2312" w:hAnsi="仿宋_GB2312" w:eastAsia="仿宋_GB2312" w:cs="仿宋_GB2312"/>
          <w:b/>
          <w:bCs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</w:rPr>
        <w:t>浙江钢管（浙江绍兴）</w:t>
      </w:r>
    </w:p>
    <w:p>
      <w:pPr>
        <w:pStyle w:val="5"/>
        <w:widowControl/>
        <w:adjustRightInd w:val="0"/>
        <w:snapToGrid w:val="0"/>
        <w:spacing w:beforeAutospacing="0" w:after="62" w:afterLines="20" w:afterAutospacing="0" w:line="360" w:lineRule="auto"/>
        <w:jc w:val="center"/>
        <w:rPr>
          <w:rFonts w:hint="eastAsia" w:ascii="仿宋_GB2312" w:hAnsi="仿宋_GB2312" w:eastAsia="仿宋_GB2312" w:cs="仿宋_GB2312"/>
          <w:b/>
          <w:bCs/>
        </w:rPr>
      </w:pPr>
    </w:p>
    <w:p>
      <w:pPr>
        <w:pStyle w:val="5"/>
        <w:widowControl/>
        <w:adjustRightInd w:val="0"/>
        <w:snapToGrid w:val="0"/>
        <w:spacing w:beforeAutospacing="0" w:after="62" w:afterLines="20" w:afterAutospacing="0" w:line="360" w:lineRule="auto"/>
        <w:jc w:val="center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【攀登集幕令——登顶之路，英雄不问出处】</w:t>
      </w:r>
    </w:p>
    <w:tbl>
      <w:tblPr>
        <w:tblStyle w:val="7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岗位</w:t>
            </w:r>
          </w:p>
        </w:tc>
        <w:tc>
          <w:tcPr>
            <w:tcW w:w="581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储备冶金工程师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储备轧钢工程师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材料成型及控制工程（轧钢方向）、金属材料工程、材料科学与工程（压力加工方向、热处理方向）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储备耐腐蚀工程师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金属材料工程、材料科学与工程（耐腐蚀方向）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储备针状焦工程师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化学工程与工艺（针状焦方向）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储备煤化工工程师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化学工程与工艺（煤化工方向）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储备耐材工程师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无机非金属材料（耐材方向）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储备选矿工程师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储备理化分析师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储备探伤工程师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无损检测相关专业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储备机械工程师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机械设计制造自动化、机械电子工程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储备液压工程师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流体传动及控制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储备电气工程师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电气自动化、电力拖动、电力系统、测控技术与仪器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储备环保工程师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储备给排水工程师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储备热能工程师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热能工程（工业炉方向、热电方向、深冷方向）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储备安全工程师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储备I</w:t>
            </w:r>
            <w:r>
              <w:rPr>
                <w:rFonts w:ascii="仿宋_GB2312" w:eastAsia="仿宋_GB2312"/>
                <w:sz w:val="24"/>
              </w:rPr>
              <w:t>T</w:t>
            </w:r>
            <w:r>
              <w:rPr>
                <w:rFonts w:hint="eastAsia" w:ascii="仿宋_GB2312" w:eastAsia="仿宋_GB2312"/>
                <w:sz w:val="24"/>
              </w:rPr>
              <w:t>工程师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计算机工程（软件方向、网络方向、大数据方向）、应用数学（算法与软件开发方向）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管理专员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中文文学类、新闻学、档案管理、图书档案、法学（合同法、民法、投融资）、人力资源管理、会计学、财务管理、工商管理、审计学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营销专员</w:t>
            </w:r>
          </w:p>
        </w:tc>
        <w:tc>
          <w:tcPr>
            <w:tcW w:w="581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市场营销、国际贸易（英语、俄语、韩语）</w:t>
            </w:r>
          </w:p>
        </w:tc>
      </w:tr>
    </w:tbl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宣讲会现场可接收简历进行一对一初面。期待你的到来！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想要加入我们2021中信泰富特钢“登顶”之旅的同学赶紧投递简历报名吧！我们期待与每一个有梦想的你结伴而行！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【网申地址】</w:t>
      </w:r>
    </w:p>
    <w:p>
      <w:pPr>
        <w:pStyle w:val="5"/>
        <w:widowControl/>
        <w:spacing w:beforeAutospacing="0" w:afterAutospacing="0" w:line="360" w:lineRule="auto"/>
        <w:rPr>
          <w:rFonts w:ascii="仿宋_GB2312" w:hAnsi="仿宋_GB2312" w:eastAsia="仿宋_GB2312" w:cs="仿宋_GB2312"/>
        </w:rPr>
      </w:pPr>
      <w:r>
        <w:fldChar w:fldCharType="begin"/>
      </w:r>
      <w:r>
        <w:instrText xml:space="preserve"> HYPERLINK "https://mxiaoyuan.zhaopin.com/WeiXinNew/SearchBrandCompany?rid=38364" </w:instrText>
      </w:r>
      <w:r>
        <w:fldChar w:fldCharType="separate"/>
      </w:r>
      <w:r>
        <w:rPr>
          <w:rStyle w:val="10"/>
          <w:rFonts w:ascii="仿宋_GB2312" w:hAnsi="仿宋_GB2312" w:eastAsia="仿宋_GB2312" w:cs="仿宋_GB2312"/>
        </w:rPr>
        <w:t>https://mxiaoyuan.zhaopin.com/WeiXinNew/SearchBrandCompany?rid=38364</w:t>
      </w:r>
      <w:r>
        <w:rPr>
          <w:rStyle w:val="10"/>
          <w:rFonts w:ascii="仿宋_GB2312" w:hAnsi="仿宋_GB2312" w:eastAsia="仿宋_GB2312" w:cs="仿宋_GB2312"/>
        </w:rPr>
        <w:fldChar w:fldCharType="end"/>
      </w:r>
    </w:p>
    <w:p>
      <w:pPr>
        <w:pStyle w:val="5"/>
        <w:widowControl/>
        <w:spacing w:beforeAutospacing="0" w:afterAutospacing="0" w:line="360" w:lineRule="auto"/>
        <w:rPr>
          <w:rFonts w:hint="eastAsia" w:ascii="仿宋_GB2312" w:hAnsi="仿宋_GB2312" w:eastAsia="仿宋_GB2312" w:cs="仿宋_GB2312"/>
        </w:rPr>
      </w:pPr>
    </w:p>
    <w:p>
      <w:pPr>
        <w:pStyle w:val="5"/>
        <w:widowControl/>
        <w:spacing w:beforeAutospacing="0" w:afterAutospacing="0"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【手机端二维码】</w:t>
      </w:r>
    </w:p>
    <w:p>
      <w:pPr>
        <w:pStyle w:val="5"/>
        <w:widowControl/>
        <w:spacing w:beforeAutospacing="0" w:afterAutospacing="0" w:line="360" w:lineRule="auto"/>
        <w:jc w:val="center"/>
        <w:rPr>
          <w:rFonts w:ascii="仿宋_GB2312" w:hAnsi="仿宋_GB2312" w:eastAsia="仿宋_GB2312" w:cs="仿宋_GB2312"/>
        </w:rPr>
      </w:pPr>
      <w:r>
        <w:drawing>
          <wp:inline distT="0" distB="0" distL="0" distR="0">
            <wp:extent cx="1860550" cy="1860550"/>
            <wp:effectExtent l="0" t="0" r="6350" b="6350"/>
            <wp:docPr id="1" name="图片 1" descr="https://mxiaoyuan.zhaopin.com/WeiXinNew/SearchBrandCompany?rid=3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xiaoyuan.zhaopin.com/WeiXinNew/SearchBrandCompany?rid=383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BA203C7-7833-49AC-9454-8C89E252079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E0E15FA-61C8-4E55-A3B9-39C01439710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F094D01-A982-4D2C-A6EB-B6200C443413}"/>
  </w:font>
  <w:font w:name="___WRD_EMBED_SUB_39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3C94855-FA83-4654-BC59-6A747A3DFEF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83604"/>
    <w:multiLevelType w:val="singleLevel"/>
    <w:tmpl w:val="9D38360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301BD9"/>
    <w:rsid w:val="000904DB"/>
    <w:rsid w:val="000A21A9"/>
    <w:rsid w:val="000D3B54"/>
    <w:rsid w:val="000F5FA6"/>
    <w:rsid w:val="0011112B"/>
    <w:rsid w:val="00113265"/>
    <w:rsid w:val="00134101"/>
    <w:rsid w:val="001363DB"/>
    <w:rsid w:val="00160C82"/>
    <w:rsid w:val="001C24DC"/>
    <w:rsid w:val="00247AA0"/>
    <w:rsid w:val="00273C19"/>
    <w:rsid w:val="002D5BC2"/>
    <w:rsid w:val="00307BD8"/>
    <w:rsid w:val="003114D7"/>
    <w:rsid w:val="00331E3C"/>
    <w:rsid w:val="00375AF9"/>
    <w:rsid w:val="003A1942"/>
    <w:rsid w:val="003B7736"/>
    <w:rsid w:val="003E445A"/>
    <w:rsid w:val="0040001D"/>
    <w:rsid w:val="00431A05"/>
    <w:rsid w:val="00492D47"/>
    <w:rsid w:val="004A550C"/>
    <w:rsid w:val="004A6AF7"/>
    <w:rsid w:val="004E2EFE"/>
    <w:rsid w:val="0051626A"/>
    <w:rsid w:val="00556A6E"/>
    <w:rsid w:val="00563305"/>
    <w:rsid w:val="0056384D"/>
    <w:rsid w:val="005C0530"/>
    <w:rsid w:val="00613B30"/>
    <w:rsid w:val="00635774"/>
    <w:rsid w:val="007402CE"/>
    <w:rsid w:val="00760BA0"/>
    <w:rsid w:val="00767AE4"/>
    <w:rsid w:val="007707B4"/>
    <w:rsid w:val="007A5DB2"/>
    <w:rsid w:val="007B4C37"/>
    <w:rsid w:val="007E5ADE"/>
    <w:rsid w:val="007F0505"/>
    <w:rsid w:val="007F62EC"/>
    <w:rsid w:val="00831B41"/>
    <w:rsid w:val="00891D17"/>
    <w:rsid w:val="008A7D1D"/>
    <w:rsid w:val="008C18A6"/>
    <w:rsid w:val="008D3795"/>
    <w:rsid w:val="00984D75"/>
    <w:rsid w:val="00991C2C"/>
    <w:rsid w:val="009C422A"/>
    <w:rsid w:val="009D023E"/>
    <w:rsid w:val="00A30C03"/>
    <w:rsid w:val="00A328E7"/>
    <w:rsid w:val="00A76EA1"/>
    <w:rsid w:val="00A925B1"/>
    <w:rsid w:val="00AA41AB"/>
    <w:rsid w:val="00AF3B79"/>
    <w:rsid w:val="00B5287A"/>
    <w:rsid w:val="00B73B0C"/>
    <w:rsid w:val="00B84AC1"/>
    <w:rsid w:val="00BD320A"/>
    <w:rsid w:val="00C0541B"/>
    <w:rsid w:val="00C06DFE"/>
    <w:rsid w:val="00C1028F"/>
    <w:rsid w:val="00C26138"/>
    <w:rsid w:val="00C859ED"/>
    <w:rsid w:val="00C90D5A"/>
    <w:rsid w:val="00D04A00"/>
    <w:rsid w:val="00D15AE5"/>
    <w:rsid w:val="00D761B2"/>
    <w:rsid w:val="00DC2252"/>
    <w:rsid w:val="00DF712A"/>
    <w:rsid w:val="00DF75AD"/>
    <w:rsid w:val="00E85D9A"/>
    <w:rsid w:val="00EB3E13"/>
    <w:rsid w:val="00F95E05"/>
    <w:rsid w:val="00FE23A5"/>
    <w:rsid w:val="01301BD9"/>
    <w:rsid w:val="280A1875"/>
    <w:rsid w:val="52C61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0"/>
    <w:rPr>
      <w:color w:val="0563C1" w:themeColor="hyperlink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1444</Characters>
  <Lines>12</Lines>
  <Paragraphs>3</Paragraphs>
  <TotalTime>2</TotalTime>
  <ScaleCrop>false</ScaleCrop>
  <LinksUpToDate>false</LinksUpToDate>
  <CharactersWithSpaces>1694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2020-09-02T08:02:00Z</dcterms:created>
  <dc:creator>哈土丝</dc:creator>
  <cp:lastModifiedBy>小贝同学</cp:lastModifiedBy>
  <cp:lastPrinted>2020-09-10T23:58:00Z</cp:lastPrinted>
  <dcterms:modified xsi:type="dcterms:W3CDTF">2021-03-04T06:50:16Z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