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0A1A" w14:textId="77777777" w:rsidR="008B41D1" w:rsidRDefault="00547FDE">
      <w:pPr>
        <w:spacing w:line="560" w:lineRule="exact"/>
        <w:jc w:val="center"/>
        <w:rPr>
          <w:rFonts w:ascii="STFangsong" w:eastAsia="STFangsong" w:hAnsi="STFangsong"/>
          <w:b/>
          <w:bCs/>
          <w:sz w:val="28"/>
          <w:szCs w:val="28"/>
        </w:rPr>
      </w:pPr>
      <w:r>
        <w:rPr>
          <w:rFonts w:ascii="STFangsong" w:eastAsia="STFangsong" w:hAnsi="STFangsong" w:hint="eastAsia"/>
          <w:b/>
          <w:bCs/>
          <w:sz w:val="28"/>
          <w:szCs w:val="28"/>
        </w:rPr>
        <w:t>中建一局安装公司20</w:t>
      </w:r>
      <w:r w:rsidR="00DA18F4">
        <w:rPr>
          <w:rFonts w:ascii="STFangsong" w:eastAsia="STFangsong" w:hAnsi="STFangsong" w:hint="eastAsia"/>
          <w:b/>
          <w:bCs/>
          <w:sz w:val="28"/>
          <w:szCs w:val="28"/>
        </w:rPr>
        <w:t>21</w:t>
      </w:r>
      <w:r>
        <w:rPr>
          <w:rFonts w:ascii="STFangsong" w:eastAsia="STFangsong" w:hAnsi="STFangsong" w:hint="eastAsia"/>
          <w:b/>
          <w:bCs/>
          <w:sz w:val="28"/>
          <w:szCs w:val="28"/>
        </w:rPr>
        <w:t>校园招聘简章</w:t>
      </w:r>
    </w:p>
    <w:p w14:paraId="4982760A" w14:textId="77777777" w:rsidR="008B41D1" w:rsidRDefault="00547FDE">
      <w:pPr>
        <w:numPr>
          <w:ilvl w:val="0"/>
          <w:numId w:val="1"/>
        </w:numPr>
        <w:spacing w:line="560" w:lineRule="exact"/>
        <w:rPr>
          <w:rFonts w:ascii="STFangsong" w:eastAsia="STFangsong" w:hAnsi="STFangsong"/>
          <w:b/>
          <w:bCs/>
          <w:sz w:val="28"/>
          <w:szCs w:val="28"/>
        </w:rPr>
      </w:pPr>
      <w:r>
        <w:rPr>
          <w:rFonts w:ascii="STFangsong" w:eastAsia="STFangsong" w:hAnsi="STFangsong" w:hint="eastAsia"/>
          <w:b/>
          <w:bCs/>
          <w:sz w:val="28"/>
          <w:szCs w:val="28"/>
        </w:rPr>
        <w:t>公司基本信息</w:t>
      </w:r>
    </w:p>
    <w:p w14:paraId="2CF73B5F"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公司名称：中建一局集团安装工程有限公司</w:t>
      </w:r>
    </w:p>
    <w:p w14:paraId="23AD67E8"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总部地点：北京</w:t>
      </w:r>
    </w:p>
    <w:p w14:paraId="4E77F231" w14:textId="77777777" w:rsidR="008B41D1" w:rsidRDefault="00280A0C">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专属招聘顾问</w:t>
      </w:r>
      <w:r w:rsidR="00547FDE">
        <w:rPr>
          <w:rFonts w:ascii="STFangsong" w:eastAsia="STFangsong" w:hAnsi="STFangsong" w:hint="eastAsia"/>
          <w:sz w:val="28"/>
          <w:szCs w:val="28"/>
        </w:rPr>
        <w:t>：孙丹、张盼</w:t>
      </w:r>
    </w:p>
    <w:p w14:paraId="6A932381"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邮箱：sundan@azgs.com.cn、zhangpan@azgs.com.cn</w:t>
      </w:r>
    </w:p>
    <w:p w14:paraId="29C606AC"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电话：010-60238091、010-60238300</w:t>
      </w:r>
    </w:p>
    <w:p w14:paraId="2CFAC329"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 xml:space="preserve">企业官网：http://www.azgs.com.cn/ </w:t>
      </w:r>
    </w:p>
    <w:p w14:paraId="2B1DCB18" w14:textId="77777777" w:rsidR="008B41D1" w:rsidRDefault="00FD406D">
      <w:pPr>
        <w:numPr>
          <w:ilvl w:val="0"/>
          <w:numId w:val="1"/>
        </w:numPr>
        <w:spacing w:line="560" w:lineRule="exact"/>
        <w:rPr>
          <w:rFonts w:ascii="STFangsong" w:eastAsia="STFangsong" w:hAnsi="STFangsong"/>
          <w:b/>
          <w:bCs/>
          <w:sz w:val="28"/>
          <w:szCs w:val="28"/>
        </w:rPr>
      </w:pPr>
      <w:r>
        <w:rPr>
          <w:rFonts w:ascii="STFangsong" w:eastAsia="STFangsong" w:hAnsi="STFangsong" w:hint="eastAsia"/>
          <w:b/>
          <w:bCs/>
          <w:sz w:val="28"/>
          <w:szCs w:val="28"/>
        </w:rPr>
        <w:t>公司简介</w:t>
      </w:r>
    </w:p>
    <w:p w14:paraId="31053156" w14:textId="2D5FBA34" w:rsidR="00FD406D" w:rsidRPr="00FD406D" w:rsidRDefault="00FD406D" w:rsidP="00FD406D">
      <w:pPr>
        <w:spacing w:line="560" w:lineRule="exact"/>
        <w:ind w:firstLineChars="200" w:firstLine="560"/>
        <w:rPr>
          <w:rFonts w:ascii="STFangsong" w:eastAsia="STFangsong" w:hAnsi="STFangsong"/>
          <w:sz w:val="28"/>
          <w:szCs w:val="28"/>
        </w:rPr>
      </w:pPr>
      <w:r w:rsidRPr="00FD406D">
        <w:rPr>
          <w:rFonts w:ascii="STFangsong" w:eastAsia="STFangsong" w:hAnsi="STFangsong" w:hint="eastAsia"/>
          <w:sz w:val="28"/>
          <w:szCs w:val="28"/>
        </w:rPr>
        <w:t>中建一局集团安装工程有限公司组建于1953年，是中建一局所属的从事大型建筑安装工程施工的壹级企业。公司秉承“1135”专业发展战略，着力于</w:t>
      </w:r>
      <w:r w:rsidRPr="00280A0C">
        <w:rPr>
          <w:rFonts w:ascii="STFangsong" w:eastAsia="STFangsong" w:hAnsi="STFangsong" w:hint="eastAsia"/>
          <w:b/>
          <w:sz w:val="28"/>
          <w:szCs w:val="28"/>
        </w:rPr>
        <w:t>高端机电、环境治理、工业厂房、市政基础设施、石油化工</w:t>
      </w:r>
      <w:r w:rsidRPr="00FD406D">
        <w:rPr>
          <w:rFonts w:ascii="STFangsong" w:eastAsia="STFangsong" w:hAnsi="STFangsong" w:hint="eastAsia"/>
          <w:sz w:val="28"/>
          <w:szCs w:val="28"/>
        </w:rPr>
        <w:t>等五大专业板块协同发展。</w:t>
      </w:r>
    </w:p>
    <w:p w14:paraId="2F426D03" w14:textId="77777777" w:rsidR="00FD406D" w:rsidRPr="00FD406D" w:rsidRDefault="00FD406D" w:rsidP="00FD406D">
      <w:pPr>
        <w:spacing w:line="560" w:lineRule="exact"/>
        <w:ind w:firstLineChars="200" w:firstLine="560"/>
        <w:rPr>
          <w:rFonts w:ascii="STFangsong" w:eastAsia="STFangsong" w:hAnsi="STFangsong"/>
          <w:sz w:val="28"/>
          <w:szCs w:val="28"/>
        </w:rPr>
      </w:pPr>
      <w:r w:rsidRPr="00FD406D">
        <w:rPr>
          <w:rFonts w:ascii="STFangsong" w:eastAsia="STFangsong" w:hAnsi="STFangsong" w:hint="eastAsia"/>
          <w:sz w:val="28"/>
          <w:szCs w:val="28"/>
        </w:rPr>
        <w:t>作为中建一局旗下唯一一家机电安装类专业子企业，公司具有机电工程施工总承包壹级、机电房屋工程专业承包壹级、消防设施工程专业承包壹级等各项资质。公司高端机电代表工程众多，行业口碑较高，多次获得国家级、省部级奖项，如北京银泰中心、中国国际贸易中心、奥林匹克公园国家会议中心、武汉中心、苏州中心、三亚晋合艾迪逊酒店等工程项目。公司集聚了机电安装行业领先人才，培养了大批技术过硬的专业人才，经营规模逐年扩大，市场占有率稳步提升，企业形象和社会信誉逐年提高，跻身国内大型建筑安装企业的前列。</w:t>
      </w:r>
    </w:p>
    <w:p w14:paraId="225CCB7B" w14:textId="77777777" w:rsidR="00FD406D" w:rsidRPr="00FD406D" w:rsidRDefault="00FD406D" w:rsidP="00FD406D">
      <w:pPr>
        <w:spacing w:line="560" w:lineRule="exact"/>
        <w:ind w:firstLineChars="200" w:firstLine="560"/>
        <w:rPr>
          <w:rFonts w:ascii="STFangsong" w:eastAsia="STFangsong" w:hAnsi="STFangsong"/>
          <w:sz w:val="28"/>
          <w:szCs w:val="28"/>
        </w:rPr>
      </w:pPr>
      <w:r w:rsidRPr="00FD406D">
        <w:rPr>
          <w:rFonts w:ascii="STFangsong" w:eastAsia="STFangsong" w:hAnsi="STFangsong" w:hint="eastAsia"/>
          <w:sz w:val="28"/>
          <w:szCs w:val="28"/>
        </w:rPr>
        <w:t>作为中建一局环保板块重要发展平台，公司从顶层设计和组织体系上进行全面规划，秉承绿色发展理念和绿色建造方式，为客户提供市政污水处理、工业废水处理、水环境综合治理、黑臭水体治理、海绵城市、垃圾处理、土壤修复等领域的高品质产品，致力于打造国内环境治理领域的专业品牌和推动我国环境治理产业绿色发展的一面旗帜，在建设“美丽中国”中展现大国央企的担当与能力。</w:t>
      </w:r>
    </w:p>
    <w:p w14:paraId="5CF6FAC9" w14:textId="77777777" w:rsidR="00FD406D" w:rsidRPr="00FD406D" w:rsidRDefault="00FD406D" w:rsidP="00FD406D">
      <w:pPr>
        <w:spacing w:line="560" w:lineRule="exact"/>
        <w:ind w:firstLineChars="200" w:firstLine="560"/>
        <w:rPr>
          <w:rFonts w:ascii="STFangsong" w:eastAsia="STFangsong" w:hAnsi="STFangsong"/>
          <w:sz w:val="28"/>
          <w:szCs w:val="28"/>
        </w:rPr>
      </w:pPr>
      <w:r w:rsidRPr="00FD406D">
        <w:rPr>
          <w:rFonts w:ascii="STFangsong" w:eastAsia="STFangsong" w:hAnsi="STFangsong" w:hint="eastAsia"/>
          <w:sz w:val="28"/>
          <w:szCs w:val="28"/>
        </w:rPr>
        <w:lastRenderedPageBreak/>
        <w:t>作为中建一局旗下唯一一家具有石油化工总承包一级资质和压力容器、压力管道制作安装专业资质的子企业，公司具有石油化工工程施工总承包壹级资质。自组建以来，承接了大庆炼油厂、湖北荆门炼油厂等一大批石油化工工程，其中北京燕山14万吨/年低压聚乙烯装置获得了中国建筑工程“鲁班奖”。</w:t>
      </w:r>
    </w:p>
    <w:p w14:paraId="09FFC757" w14:textId="77777777" w:rsidR="00FD406D" w:rsidRPr="00FD406D" w:rsidRDefault="00FD406D" w:rsidP="00FD406D">
      <w:pPr>
        <w:spacing w:line="560" w:lineRule="exact"/>
        <w:ind w:firstLineChars="200" w:firstLine="560"/>
        <w:rPr>
          <w:rFonts w:ascii="STFangsong" w:eastAsia="STFangsong" w:hAnsi="STFangsong"/>
          <w:sz w:val="28"/>
          <w:szCs w:val="28"/>
        </w:rPr>
      </w:pPr>
      <w:r w:rsidRPr="00FD406D">
        <w:rPr>
          <w:rFonts w:ascii="STFangsong" w:eastAsia="STFangsong" w:hAnsi="STFangsong"/>
          <w:sz w:val="28"/>
          <w:szCs w:val="28"/>
        </w:rPr>
        <w:t>经过六十多年的发展，公司施工足迹遍布祖国大江南北，在十余个国家和地区承建了各类建筑安装工程，积累了丰富的施工经验，具有雄厚的技术力量、生产设施和完善的企业管理制度，</w:t>
      </w:r>
      <w:r w:rsidRPr="00FD406D">
        <w:rPr>
          <w:rFonts w:ascii="STFangsong" w:eastAsia="STFangsong" w:hAnsi="STFangsong" w:hint="eastAsia"/>
          <w:sz w:val="28"/>
          <w:szCs w:val="28"/>
        </w:rPr>
        <w:t>获得国家级科技奖、国家级质量奖30余项，</w:t>
      </w:r>
      <w:r w:rsidRPr="00FD406D">
        <w:rPr>
          <w:rFonts w:ascii="STFangsong" w:eastAsia="STFangsong" w:hAnsi="STFangsong"/>
          <w:sz w:val="28"/>
          <w:szCs w:val="28"/>
        </w:rPr>
        <w:t>形成了管理、技术、人才、</w:t>
      </w:r>
      <w:r w:rsidRPr="00FD406D">
        <w:rPr>
          <w:rFonts w:ascii="STFangsong" w:eastAsia="STFangsong" w:hAnsi="STFangsong" w:hint="eastAsia"/>
          <w:sz w:val="28"/>
          <w:szCs w:val="28"/>
        </w:rPr>
        <w:t>品</w:t>
      </w:r>
      <w:r w:rsidRPr="00FD406D">
        <w:rPr>
          <w:rFonts w:ascii="STFangsong" w:eastAsia="STFangsong" w:hAnsi="STFangsong"/>
          <w:sz w:val="28"/>
          <w:szCs w:val="28"/>
        </w:rPr>
        <w:t>牌、规模经营等诸多优势。</w:t>
      </w:r>
    </w:p>
    <w:p w14:paraId="348F11AC" w14:textId="77777777" w:rsidR="008B41D1" w:rsidRDefault="00EE2E81">
      <w:pPr>
        <w:spacing w:line="560" w:lineRule="exact"/>
        <w:rPr>
          <w:rFonts w:ascii="STFangsong" w:eastAsia="STFangsong" w:hAnsi="STFangsong"/>
          <w:b/>
          <w:bCs/>
          <w:sz w:val="28"/>
          <w:szCs w:val="28"/>
        </w:rPr>
      </w:pPr>
      <w:r>
        <w:rPr>
          <w:rFonts w:ascii="STFangsong" w:eastAsia="STFangsong" w:hAnsi="STFangsong" w:hint="eastAsia"/>
          <w:b/>
          <w:bCs/>
          <w:sz w:val="28"/>
          <w:szCs w:val="28"/>
        </w:rPr>
        <w:t>3</w:t>
      </w:r>
      <w:r w:rsidR="00547FDE">
        <w:rPr>
          <w:rFonts w:ascii="STFangsong" w:eastAsia="STFangsong" w:hAnsi="STFangsong" w:hint="eastAsia"/>
          <w:b/>
          <w:bCs/>
          <w:sz w:val="28"/>
          <w:szCs w:val="28"/>
        </w:rPr>
        <w:t>、校招专属：</w:t>
      </w:r>
    </w:p>
    <w:p w14:paraId="6FA5CEBF" w14:textId="77777777" w:rsidR="00D633C3" w:rsidRDefault="00D633C3" w:rsidP="00D21D25">
      <w:pPr>
        <w:spacing w:line="560" w:lineRule="exact"/>
        <w:ind w:firstLineChars="200" w:firstLine="561"/>
        <w:rPr>
          <w:rFonts w:ascii="STFangsong" w:eastAsia="STFangsong" w:hAnsi="STFangsong"/>
          <w:sz w:val="28"/>
          <w:szCs w:val="28"/>
        </w:rPr>
      </w:pPr>
      <w:r w:rsidRPr="00D21D25">
        <w:rPr>
          <w:rFonts w:ascii="STFangsong" w:eastAsia="STFangsong" w:hAnsi="STFangsong" w:hint="eastAsia"/>
          <w:b/>
          <w:sz w:val="28"/>
          <w:szCs w:val="28"/>
        </w:rPr>
        <w:t>薪酬</w:t>
      </w:r>
      <w:r w:rsidR="00112248">
        <w:rPr>
          <w:rFonts w:ascii="STFangsong" w:eastAsia="STFangsong" w:hAnsi="STFangsong" w:hint="eastAsia"/>
          <w:sz w:val="28"/>
          <w:szCs w:val="28"/>
        </w:rPr>
        <w:t>：</w:t>
      </w:r>
      <w:r>
        <w:rPr>
          <w:rFonts w:ascii="STFangsong" w:eastAsia="STFangsong" w:hAnsi="STFangsong" w:hint="eastAsia"/>
          <w:sz w:val="28"/>
          <w:szCs w:val="28"/>
        </w:rPr>
        <w:t>岗位工资+绩效工资+效益奖金+津贴补贴（执业资格一次性奖励和日常津贴、青年员工住房津贴、通讯补贴、交通补贴、防暑降温补贴、采暖补贴等）+单独事项奖（“明星大项目部”“标杆大项目部”荣誉奖、科技质量创优奖、市场营销奖）</w:t>
      </w:r>
      <w:r w:rsidR="00547FDE">
        <w:rPr>
          <w:rFonts w:ascii="STFangsong" w:eastAsia="STFangsong" w:hAnsi="STFangsong" w:hint="eastAsia"/>
          <w:sz w:val="28"/>
          <w:szCs w:val="28"/>
        </w:rPr>
        <w:t>。</w:t>
      </w:r>
    </w:p>
    <w:p w14:paraId="46F9585E" w14:textId="77777777" w:rsidR="00D21D25" w:rsidRDefault="00D633C3" w:rsidP="00D21D25">
      <w:pPr>
        <w:spacing w:line="560" w:lineRule="exact"/>
        <w:ind w:firstLineChars="200" w:firstLine="561"/>
        <w:rPr>
          <w:rFonts w:ascii="STFangsong" w:eastAsia="STFangsong" w:hAnsi="STFangsong"/>
          <w:sz w:val="28"/>
          <w:szCs w:val="28"/>
        </w:rPr>
      </w:pPr>
      <w:r w:rsidRPr="00D21D25">
        <w:rPr>
          <w:rFonts w:ascii="STFangsong" w:eastAsia="STFangsong" w:hAnsi="STFangsong" w:hint="eastAsia"/>
          <w:b/>
          <w:sz w:val="28"/>
          <w:szCs w:val="28"/>
        </w:rPr>
        <w:t>福利</w:t>
      </w:r>
      <w:r>
        <w:rPr>
          <w:rFonts w:ascii="STFangsong" w:eastAsia="STFangsong" w:hAnsi="STFangsong" w:hint="eastAsia"/>
          <w:sz w:val="28"/>
          <w:szCs w:val="28"/>
        </w:rPr>
        <w:t>：</w:t>
      </w:r>
    </w:p>
    <w:p w14:paraId="66BFE60A" w14:textId="77777777" w:rsidR="00D633C3" w:rsidRDefault="00D633C3" w:rsidP="00D21D25">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五险二金、定期免费体检、生日福利、带薪年假、各项培训奖励等各项福利。</w:t>
      </w:r>
    </w:p>
    <w:p w14:paraId="6AE8E9F1" w14:textId="77777777" w:rsidR="00D21D25" w:rsidRDefault="00D21D25" w:rsidP="00D21D25">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青年人才可享受</w:t>
      </w:r>
      <w:r w:rsidRPr="00D21D25">
        <w:rPr>
          <w:rFonts w:ascii="STFangsong" w:eastAsia="STFangsong" w:hAnsi="STFangsong" w:hint="eastAsia"/>
          <w:b/>
          <w:sz w:val="28"/>
          <w:szCs w:val="28"/>
        </w:rPr>
        <w:t>最高15万元的“先锋”基金</w:t>
      </w:r>
      <w:r>
        <w:rPr>
          <w:rFonts w:ascii="STFangsong" w:eastAsia="STFangsong" w:hAnsi="STFangsong" w:hint="eastAsia"/>
          <w:sz w:val="28"/>
          <w:szCs w:val="28"/>
        </w:rPr>
        <w:t>。</w:t>
      </w:r>
    </w:p>
    <w:p w14:paraId="0463BA5D" w14:textId="77777777" w:rsidR="00D21D25" w:rsidRDefault="00D21D25" w:rsidP="00D21D25">
      <w:pPr>
        <w:spacing w:line="560" w:lineRule="exact"/>
        <w:ind w:firstLineChars="200" w:firstLine="561"/>
        <w:rPr>
          <w:rFonts w:ascii="STFangsong" w:eastAsia="STFangsong" w:hAnsi="STFangsong"/>
          <w:sz w:val="28"/>
          <w:szCs w:val="28"/>
        </w:rPr>
      </w:pPr>
      <w:r w:rsidRPr="00D21D25">
        <w:rPr>
          <w:rFonts w:ascii="STFangsong" w:eastAsia="STFangsong" w:hAnsi="STFangsong" w:hint="eastAsia"/>
          <w:b/>
          <w:sz w:val="28"/>
          <w:szCs w:val="28"/>
        </w:rPr>
        <w:t>跨职级晋升</w:t>
      </w:r>
      <w:r>
        <w:rPr>
          <w:rFonts w:ascii="STFangsong" w:eastAsia="STFangsong" w:hAnsi="STFangsong" w:hint="eastAsia"/>
          <w:sz w:val="28"/>
          <w:szCs w:val="28"/>
        </w:rPr>
        <w:t>。</w:t>
      </w:r>
    </w:p>
    <w:p w14:paraId="00F14659" w14:textId="77777777" w:rsidR="008B41D1" w:rsidRDefault="00547FDE">
      <w:pPr>
        <w:spacing w:line="560" w:lineRule="exact"/>
        <w:ind w:firstLineChars="200" w:firstLine="560"/>
        <w:rPr>
          <w:rFonts w:ascii="STFangsong" w:eastAsia="STFangsong" w:hAnsi="STFangsong"/>
          <w:sz w:val="28"/>
          <w:szCs w:val="28"/>
        </w:rPr>
      </w:pPr>
      <w:r>
        <w:rPr>
          <w:rFonts w:ascii="STFangsong" w:eastAsia="STFangsong" w:hAnsi="STFangsong" w:hint="eastAsia"/>
          <w:sz w:val="28"/>
          <w:szCs w:val="28"/>
        </w:rPr>
        <w:t>大型施工项目经验、广阔的</w:t>
      </w:r>
      <w:r w:rsidRPr="00D21D25">
        <w:rPr>
          <w:rFonts w:ascii="STFangsong" w:eastAsia="STFangsong" w:hAnsi="STFangsong" w:hint="eastAsia"/>
          <w:b/>
          <w:sz w:val="28"/>
          <w:szCs w:val="28"/>
        </w:rPr>
        <w:t>发展平台</w:t>
      </w:r>
      <w:r>
        <w:rPr>
          <w:rFonts w:ascii="STFangsong" w:eastAsia="STFangsong" w:hAnsi="STFangsong" w:hint="eastAsia"/>
          <w:sz w:val="28"/>
          <w:szCs w:val="28"/>
        </w:rPr>
        <w:t>。</w:t>
      </w:r>
    </w:p>
    <w:p w14:paraId="43247F87" w14:textId="77777777" w:rsidR="008B41D1" w:rsidRDefault="00D21D25" w:rsidP="00D21D25">
      <w:pPr>
        <w:spacing w:line="560" w:lineRule="exact"/>
        <w:ind w:firstLineChars="200" w:firstLine="561"/>
        <w:rPr>
          <w:rFonts w:ascii="STFangsong" w:eastAsia="STFangsong" w:hAnsi="STFangsong"/>
          <w:sz w:val="28"/>
          <w:szCs w:val="28"/>
        </w:rPr>
      </w:pPr>
      <w:r w:rsidRPr="00D21D25">
        <w:rPr>
          <w:rFonts w:ascii="STFangsong" w:eastAsia="STFangsong" w:hAnsi="STFangsong" w:hint="eastAsia"/>
          <w:b/>
          <w:sz w:val="28"/>
          <w:szCs w:val="28"/>
        </w:rPr>
        <w:t>北京</w:t>
      </w:r>
      <w:r>
        <w:rPr>
          <w:rFonts w:ascii="STFangsong" w:eastAsia="STFangsong" w:hAnsi="STFangsong" w:hint="eastAsia"/>
          <w:sz w:val="28"/>
          <w:szCs w:val="28"/>
        </w:rPr>
        <w:t>等</w:t>
      </w:r>
      <w:r w:rsidR="00547FDE">
        <w:rPr>
          <w:rFonts w:ascii="STFangsong" w:eastAsia="STFangsong" w:hAnsi="STFangsong" w:hint="eastAsia"/>
          <w:sz w:val="28"/>
          <w:szCs w:val="28"/>
        </w:rPr>
        <w:t>国内主要城市</w:t>
      </w:r>
      <w:r w:rsidR="00547FDE" w:rsidRPr="00D21D25">
        <w:rPr>
          <w:rFonts w:ascii="STFangsong" w:eastAsia="STFangsong" w:hAnsi="STFangsong" w:hint="eastAsia"/>
          <w:b/>
          <w:sz w:val="28"/>
          <w:szCs w:val="28"/>
        </w:rPr>
        <w:t>落户</w:t>
      </w:r>
      <w:r w:rsidR="00547FDE">
        <w:rPr>
          <w:rFonts w:ascii="STFangsong" w:eastAsia="STFangsong" w:hAnsi="STFangsong" w:hint="eastAsia"/>
          <w:sz w:val="28"/>
          <w:szCs w:val="28"/>
        </w:rPr>
        <w:t>的机会。</w:t>
      </w:r>
    </w:p>
    <w:p w14:paraId="6A3D248D" w14:textId="77777777" w:rsidR="008B41D1" w:rsidRPr="00D21D25" w:rsidRDefault="00547FDE">
      <w:pPr>
        <w:spacing w:line="560" w:lineRule="exact"/>
        <w:ind w:firstLine="560"/>
        <w:rPr>
          <w:rFonts w:ascii="STFangsong" w:eastAsia="STFangsong" w:hAnsi="STFangsong"/>
          <w:b/>
          <w:sz w:val="28"/>
          <w:szCs w:val="28"/>
        </w:rPr>
      </w:pPr>
      <w:r w:rsidRPr="00D21D25">
        <w:rPr>
          <w:rFonts w:ascii="STFangsong" w:eastAsia="STFangsong" w:hAnsi="STFangsong" w:hint="eastAsia"/>
          <w:b/>
          <w:sz w:val="28"/>
          <w:szCs w:val="28"/>
        </w:rPr>
        <w:t>特色的青年员工职业成长方案：</w:t>
      </w:r>
    </w:p>
    <w:p w14:paraId="46B0179A" w14:textId="77777777" w:rsidR="008B41D1" w:rsidRDefault="00D21D25">
      <w:pPr>
        <w:spacing w:line="560" w:lineRule="exact"/>
        <w:ind w:firstLine="560"/>
        <w:rPr>
          <w:rFonts w:ascii="STFangsong" w:eastAsia="STFangsong" w:hAnsi="STFangsong"/>
          <w:sz w:val="28"/>
          <w:szCs w:val="28"/>
        </w:rPr>
      </w:pPr>
      <w:r>
        <w:rPr>
          <w:rFonts w:ascii="STFangsong" w:eastAsia="STFangsong" w:hAnsi="STFangsong" w:hint="eastAsia"/>
          <w:sz w:val="28"/>
          <w:szCs w:val="28"/>
        </w:rPr>
        <w:t>安装青年先锋训练营、提升营、骨干营培养体系，</w:t>
      </w:r>
      <w:r w:rsidR="00547FDE">
        <w:rPr>
          <w:rFonts w:ascii="STFangsong" w:eastAsia="STFangsong" w:hAnsi="STFangsong" w:hint="eastAsia"/>
          <w:sz w:val="28"/>
          <w:szCs w:val="28"/>
        </w:rPr>
        <w:t>项目中层后备人才选拔</w:t>
      </w:r>
      <w:r>
        <w:rPr>
          <w:rFonts w:ascii="STFangsong" w:eastAsia="STFangsong" w:hAnsi="STFangsong" w:hint="eastAsia"/>
          <w:sz w:val="28"/>
          <w:szCs w:val="28"/>
        </w:rPr>
        <w:t>，</w:t>
      </w:r>
      <w:r w:rsidR="00547FDE">
        <w:rPr>
          <w:rFonts w:ascii="STFangsong" w:eastAsia="STFangsong" w:hAnsi="STFangsong" w:hint="eastAsia"/>
          <w:sz w:val="28"/>
          <w:szCs w:val="28"/>
        </w:rPr>
        <w:t>项目经理助理选用</w:t>
      </w:r>
      <w:r>
        <w:rPr>
          <w:rFonts w:ascii="STFangsong" w:eastAsia="STFangsong" w:hAnsi="STFangsong" w:hint="eastAsia"/>
          <w:sz w:val="28"/>
          <w:szCs w:val="28"/>
        </w:rPr>
        <w:t>，</w:t>
      </w:r>
      <w:r w:rsidR="00547FDE">
        <w:rPr>
          <w:rFonts w:ascii="STFangsong" w:eastAsia="STFangsong" w:hAnsi="STFangsong" w:hint="eastAsia"/>
          <w:sz w:val="28"/>
          <w:szCs w:val="28"/>
        </w:rPr>
        <w:t>中层领导后备人才选拔等特色青年员工职业成长方案助力打通青年员工职业发展全通道。</w:t>
      </w:r>
    </w:p>
    <w:p w14:paraId="6C865BBD" w14:textId="77777777" w:rsidR="008B41D1" w:rsidRPr="00D21D25" w:rsidRDefault="00547FDE">
      <w:pPr>
        <w:spacing w:line="560" w:lineRule="exact"/>
        <w:ind w:firstLine="560"/>
        <w:rPr>
          <w:rFonts w:ascii="STFangsong" w:eastAsia="STFangsong" w:hAnsi="STFangsong"/>
          <w:b/>
          <w:sz w:val="28"/>
          <w:szCs w:val="28"/>
        </w:rPr>
      </w:pPr>
      <w:r w:rsidRPr="00D21D25">
        <w:rPr>
          <w:rFonts w:ascii="STFangsong" w:eastAsia="STFangsong" w:hAnsi="STFangsong" w:hint="eastAsia"/>
          <w:b/>
          <w:sz w:val="28"/>
          <w:szCs w:val="28"/>
        </w:rPr>
        <w:t>十字交叉培训学习成长体系：</w:t>
      </w:r>
    </w:p>
    <w:p w14:paraId="797A57F8" w14:textId="77777777" w:rsidR="008B41D1" w:rsidRDefault="00547FDE">
      <w:pPr>
        <w:spacing w:line="560" w:lineRule="exact"/>
        <w:ind w:firstLine="560"/>
        <w:rPr>
          <w:rFonts w:ascii="STFangsong" w:eastAsia="STFangsong" w:hAnsi="STFangsong"/>
          <w:sz w:val="28"/>
          <w:szCs w:val="28"/>
        </w:rPr>
      </w:pPr>
      <w:r>
        <w:rPr>
          <w:rFonts w:ascii="STFangsong" w:eastAsia="STFangsong" w:hAnsi="STFangsong" w:hint="eastAsia"/>
          <w:sz w:val="28"/>
          <w:szCs w:val="28"/>
        </w:rPr>
        <w:lastRenderedPageBreak/>
        <w:t>公司既提供专业知识培训，也打造员工不同成长阶段的培训项目，鼓励青年员工学习；提供网络大学账号，在线学习覆盖每一位青年员工。</w:t>
      </w:r>
    </w:p>
    <w:p w14:paraId="658DBE1A" w14:textId="77777777" w:rsidR="00112248" w:rsidRDefault="00112248">
      <w:pPr>
        <w:spacing w:line="560" w:lineRule="exact"/>
        <w:ind w:firstLine="560"/>
        <w:rPr>
          <w:rFonts w:ascii="STFangsong" w:eastAsia="STFangsong" w:hAnsi="STFangsong"/>
          <w:sz w:val="28"/>
          <w:szCs w:val="28"/>
        </w:rPr>
      </w:pPr>
    </w:p>
    <w:p w14:paraId="09C2D2C6" w14:textId="77777777" w:rsidR="008B41D1" w:rsidRDefault="00547FDE">
      <w:pPr>
        <w:numPr>
          <w:ilvl w:val="0"/>
          <w:numId w:val="2"/>
        </w:numPr>
        <w:spacing w:line="560" w:lineRule="exact"/>
        <w:rPr>
          <w:rFonts w:ascii="STFangsong" w:eastAsia="STFangsong" w:hAnsi="STFangsong"/>
          <w:b/>
          <w:bCs/>
          <w:sz w:val="28"/>
          <w:szCs w:val="28"/>
        </w:rPr>
      </w:pPr>
      <w:r>
        <w:rPr>
          <w:rFonts w:ascii="STFangsong" w:eastAsia="STFangsong" w:hAnsi="STFangsong" w:hint="eastAsia"/>
          <w:b/>
          <w:bCs/>
          <w:sz w:val="28"/>
          <w:szCs w:val="28"/>
        </w:rPr>
        <w:t>招聘专业、人数、地点</w:t>
      </w:r>
    </w:p>
    <w:tbl>
      <w:tblPr>
        <w:tblW w:w="5000" w:type="pct"/>
        <w:tblLook w:val="04A0" w:firstRow="1" w:lastRow="0" w:firstColumn="1" w:lastColumn="0" w:noHBand="0" w:noVBand="1"/>
      </w:tblPr>
      <w:tblGrid>
        <w:gridCol w:w="2136"/>
        <w:gridCol w:w="4037"/>
        <w:gridCol w:w="3790"/>
      </w:tblGrid>
      <w:tr w:rsidR="001A194A" w:rsidRPr="001A194A" w14:paraId="446F2CB7" w14:textId="77777777" w:rsidTr="001A194A">
        <w:trPr>
          <w:trHeight w:val="1500"/>
        </w:trPr>
        <w:tc>
          <w:tcPr>
            <w:tcW w:w="1072"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121CBBEA" w14:textId="77777777" w:rsidR="001A194A" w:rsidRPr="001A194A" w:rsidRDefault="001A194A" w:rsidP="001A194A">
            <w:pPr>
              <w:widowControl/>
              <w:jc w:val="center"/>
              <w:rPr>
                <w:rFonts w:ascii="微软雅黑" w:eastAsia="微软雅黑" w:hAnsi="微软雅黑" w:cs="宋体"/>
                <w:b/>
                <w:bCs/>
                <w:color w:val="FFFFFF"/>
                <w:kern w:val="0"/>
                <w:sz w:val="18"/>
                <w:szCs w:val="18"/>
              </w:rPr>
            </w:pPr>
            <w:r w:rsidRPr="001A194A">
              <w:rPr>
                <w:rFonts w:ascii="微软雅黑" w:eastAsia="微软雅黑" w:hAnsi="微软雅黑" w:cs="宋体" w:hint="eastAsia"/>
                <w:b/>
                <w:bCs/>
                <w:color w:val="FFFFFF"/>
                <w:kern w:val="0"/>
                <w:sz w:val="18"/>
                <w:szCs w:val="18"/>
              </w:rPr>
              <w:t>岗位类别</w:t>
            </w:r>
          </w:p>
        </w:tc>
        <w:tc>
          <w:tcPr>
            <w:tcW w:w="2026" w:type="pct"/>
            <w:tcBorders>
              <w:top w:val="single" w:sz="4" w:space="0" w:color="auto"/>
              <w:left w:val="nil"/>
              <w:bottom w:val="single" w:sz="4" w:space="0" w:color="auto"/>
              <w:right w:val="single" w:sz="4" w:space="0" w:color="auto"/>
            </w:tcBorders>
            <w:shd w:val="clear" w:color="000000" w:fill="0070C0"/>
            <w:vAlign w:val="center"/>
            <w:hideMark/>
          </w:tcPr>
          <w:p w14:paraId="7361CC82" w14:textId="77777777" w:rsidR="001A194A" w:rsidRPr="001A194A" w:rsidRDefault="001A194A" w:rsidP="001A194A">
            <w:pPr>
              <w:widowControl/>
              <w:jc w:val="center"/>
              <w:rPr>
                <w:rFonts w:ascii="微软雅黑" w:eastAsia="微软雅黑" w:hAnsi="微软雅黑" w:cs="宋体"/>
                <w:b/>
                <w:bCs/>
                <w:color w:val="FFFFFF"/>
                <w:kern w:val="0"/>
                <w:sz w:val="18"/>
                <w:szCs w:val="18"/>
              </w:rPr>
            </w:pPr>
            <w:r w:rsidRPr="001A194A">
              <w:rPr>
                <w:rFonts w:ascii="微软雅黑" w:eastAsia="微软雅黑" w:hAnsi="微软雅黑" w:cs="宋体" w:hint="eastAsia"/>
                <w:b/>
                <w:bCs/>
                <w:color w:val="FFFFFF"/>
                <w:kern w:val="0"/>
                <w:sz w:val="18"/>
                <w:szCs w:val="18"/>
              </w:rPr>
              <w:t>招聘专业</w:t>
            </w:r>
          </w:p>
        </w:tc>
        <w:tc>
          <w:tcPr>
            <w:tcW w:w="1902" w:type="pct"/>
            <w:tcBorders>
              <w:top w:val="single" w:sz="4" w:space="0" w:color="auto"/>
              <w:left w:val="nil"/>
              <w:bottom w:val="single" w:sz="4" w:space="0" w:color="auto"/>
              <w:right w:val="single" w:sz="4" w:space="0" w:color="auto"/>
            </w:tcBorders>
            <w:shd w:val="clear" w:color="000000" w:fill="0070C0"/>
            <w:noWrap/>
            <w:vAlign w:val="center"/>
            <w:hideMark/>
          </w:tcPr>
          <w:p w14:paraId="09EF8287" w14:textId="77777777" w:rsidR="001A194A" w:rsidRPr="001A194A" w:rsidRDefault="001A194A" w:rsidP="001A194A">
            <w:pPr>
              <w:widowControl/>
              <w:jc w:val="center"/>
              <w:rPr>
                <w:rFonts w:ascii="微软雅黑" w:eastAsia="微软雅黑" w:hAnsi="微软雅黑" w:cs="宋体"/>
                <w:b/>
                <w:bCs/>
                <w:color w:val="FFFFFF"/>
                <w:kern w:val="0"/>
                <w:sz w:val="18"/>
                <w:szCs w:val="18"/>
              </w:rPr>
            </w:pPr>
            <w:r w:rsidRPr="001A194A">
              <w:rPr>
                <w:rFonts w:ascii="微软雅黑" w:eastAsia="微软雅黑" w:hAnsi="微软雅黑" w:cs="宋体" w:hint="eastAsia"/>
                <w:b/>
                <w:bCs/>
                <w:color w:val="FFFFFF"/>
                <w:kern w:val="0"/>
                <w:sz w:val="18"/>
                <w:szCs w:val="18"/>
              </w:rPr>
              <w:t>工作地点</w:t>
            </w:r>
          </w:p>
        </w:tc>
      </w:tr>
      <w:tr w:rsidR="001A194A" w:rsidRPr="001A194A" w14:paraId="6E1130C8" w14:textId="77777777" w:rsidTr="00584AF2">
        <w:trPr>
          <w:trHeight w:val="2490"/>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781340BE"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机电设备安装类</w:t>
            </w:r>
          </w:p>
        </w:tc>
        <w:tc>
          <w:tcPr>
            <w:tcW w:w="2026" w:type="pct"/>
            <w:tcBorders>
              <w:top w:val="nil"/>
              <w:left w:val="nil"/>
              <w:bottom w:val="single" w:sz="4" w:space="0" w:color="auto"/>
              <w:right w:val="single" w:sz="4" w:space="0" w:color="auto"/>
            </w:tcBorders>
            <w:shd w:val="clear" w:color="auto" w:fill="auto"/>
            <w:vAlign w:val="center"/>
            <w:hideMark/>
          </w:tcPr>
          <w:p w14:paraId="15A7B82E"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电气工程及其自动化、自动化、电气工程与智能控制、建筑电气与智能化、机械设计制造及自动化、机械工程、控制科学与工程、测控技术与仪器、建筑环境与能源应用工程、新能源科学与工程、能源与动力工程、供热通风与空调工程、过程装备与控制工程、给水排水工程、消防工程等相关专业</w:t>
            </w:r>
          </w:p>
        </w:tc>
        <w:tc>
          <w:tcPr>
            <w:tcW w:w="1902" w:type="pct"/>
            <w:vMerge w:val="restart"/>
            <w:tcBorders>
              <w:top w:val="nil"/>
              <w:left w:val="nil"/>
              <w:right w:val="single" w:sz="4" w:space="0" w:color="auto"/>
            </w:tcBorders>
            <w:shd w:val="clear" w:color="auto" w:fill="auto"/>
            <w:vAlign w:val="center"/>
            <w:hideMark/>
          </w:tcPr>
          <w:p w14:paraId="5E5179A0"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北京、上海、广州、深圳、天津、重庆、成都、武汉、哈尔滨、沈阳、长春、大连、青岛、西安、南京、徐州、郑州、杭州、苏州、福州、海口、三亚、张家口、赣州、乌兰察布等全国各大城市</w:t>
            </w:r>
          </w:p>
          <w:p w14:paraId="76B3E2D0" w14:textId="77777777" w:rsidR="001A194A" w:rsidRPr="001A194A" w:rsidRDefault="001A194A" w:rsidP="001A194A">
            <w:pPr>
              <w:jc w:val="center"/>
              <w:rPr>
                <w:rFonts w:ascii="微软雅黑" w:eastAsia="微软雅黑" w:hAnsi="微软雅黑" w:cs="宋体"/>
                <w:kern w:val="0"/>
                <w:sz w:val="18"/>
                <w:szCs w:val="18"/>
              </w:rPr>
            </w:pPr>
          </w:p>
        </w:tc>
      </w:tr>
      <w:tr w:rsidR="001A194A" w:rsidRPr="001A194A" w14:paraId="1BA74A7E" w14:textId="77777777" w:rsidTr="00584AF2">
        <w:trPr>
          <w:trHeight w:val="1249"/>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2489662A"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基础设施类</w:t>
            </w:r>
          </w:p>
        </w:tc>
        <w:tc>
          <w:tcPr>
            <w:tcW w:w="2026" w:type="pct"/>
            <w:tcBorders>
              <w:top w:val="nil"/>
              <w:left w:val="nil"/>
              <w:bottom w:val="single" w:sz="4" w:space="0" w:color="auto"/>
              <w:right w:val="single" w:sz="4" w:space="0" w:color="auto"/>
            </w:tcBorders>
            <w:shd w:val="clear" w:color="auto" w:fill="auto"/>
            <w:vAlign w:val="center"/>
            <w:hideMark/>
          </w:tcPr>
          <w:p w14:paraId="46211653"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道路桥梁与渡河工程、市政工程、城市地下空间工程、水利水电工程、水务工程、测绘工程、交通工程等相关专业</w:t>
            </w:r>
          </w:p>
        </w:tc>
        <w:tc>
          <w:tcPr>
            <w:tcW w:w="1902" w:type="pct"/>
            <w:vMerge/>
            <w:tcBorders>
              <w:left w:val="nil"/>
              <w:right w:val="single" w:sz="4" w:space="0" w:color="auto"/>
            </w:tcBorders>
            <w:shd w:val="clear" w:color="auto" w:fill="auto"/>
            <w:vAlign w:val="center"/>
            <w:hideMark/>
          </w:tcPr>
          <w:p w14:paraId="7E624969" w14:textId="77777777" w:rsidR="001A194A" w:rsidRPr="001A194A" w:rsidRDefault="001A194A" w:rsidP="001A194A">
            <w:pPr>
              <w:jc w:val="center"/>
              <w:rPr>
                <w:rFonts w:ascii="微软雅黑" w:eastAsia="微软雅黑" w:hAnsi="微软雅黑" w:cs="宋体"/>
                <w:kern w:val="0"/>
                <w:sz w:val="18"/>
                <w:szCs w:val="18"/>
              </w:rPr>
            </w:pPr>
          </w:p>
        </w:tc>
      </w:tr>
      <w:tr w:rsidR="001A194A" w:rsidRPr="001A194A" w14:paraId="5ABE6A94" w14:textId="77777777" w:rsidTr="00584AF2">
        <w:trPr>
          <w:trHeight w:val="997"/>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7BE1754C"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环境治理类</w:t>
            </w:r>
          </w:p>
        </w:tc>
        <w:tc>
          <w:tcPr>
            <w:tcW w:w="2026" w:type="pct"/>
            <w:tcBorders>
              <w:top w:val="nil"/>
              <w:left w:val="nil"/>
              <w:bottom w:val="single" w:sz="4" w:space="0" w:color="auto"/>
              <w:right w:val="single" w:sz="4" w:space="0" w:color="auto"/>
            </w:tcBorders>
            <w:shd w:val="clear" w:color="auto" w:fill="auto"/>
            <w:vAlign w:val="center"/>
            <w:hideMark/>
          </w:tcPr>
          <w:p w14:paraId="135DE74A"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环境科学与工程、环境工程、环境生态工程、生态学、环保设备工程等相关专业</w:t>
            </w:r>
          </w:p>
        </w:tc>
        <w:tc>
          <w:tcPr>
            <w:tcW w:w="1902" w:type="pct"/>
            <w:vMerge/>
            <w:tcBorders>
              <w:left w:val="nil"/>
              <w:right w:val="single" w:sz="4" w:space="0" w:color="auto"/>
            </w:tcBorders>
            <w:shd w:val="clear" w:color="auto" w:fill="auto"/>
            <w:vAlign w:val="center"/>
            <w:hideMark/>
          </w:tcPr>
          <w:p w14:paraId="147EACF8" w14:textId="77777777" w:rsidR="001A194A" w:rsidRPr="001A194A" w:rsidRDefault="001A194A" w:rsidP="001A194A">
            <w:pPr>
              <w:jc w:val="center"/>
              <w:rPr>
                <w:rFonts w:ascii="微软雅黑" w:eastAsia="微软雅黑" w:hAnsi="微软雅黑" w:cs="宋体"/>
                <w:kern w:val="0"/>
                <w:sz w:val="18"/>
                <w:szCs w:val="18"/>
              </w:rPr>
            </w:pPr>
          </w:p>
        </w:tc>
      </w:tr>
      <w:tr w:rsidR="001A194A" w:rsidRPr="001A194A" w14:paraId="57A425A7" w14:textId="77777777" w:rsidTr="00584AF2">
        <w:trPr>
          <w:trHeight w:val="984"/>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560B8A5A"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石油化工类</w:t>
            </w:r>
          </w:p>
        </w:tc>
        <w:tc>
          <w:tcPr>
            <w:tcW w:w="2026" w:type="pct"/>
            <w:tcBorders>
              <w:top w:val="nil"/>
              <w:left w:val="nil"/>
              <w:bottom w:val="single" w:sz="4" w:space="0" w:color="auto"/>
              <w:right w:val="single" w:sz="4" w:space="0" w:color="auto"/>
            </w:tcBorders>
            <w:shd w:val="clear" w:color="auto" w:fill="auto"/>
            <w:vAlign w:val="center"/>
            <w:hideMark/>
          </w:tcPr>
          <w:p w14:paraId="13C78FB1"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石油工程、能源化学工程、化工安全工程、化学工程与工艺、应用化学等相关专业</w:t>
            </w:r>
          </w:p>
        </w:tc>
        <w:tc>
          <w:tcPr>
            <w:tcW w:w="1902" w:type="pct"/>
            <w:vMerge/>
            <w:tcBorders>
              <w:left w:val="nil"/>
              <w:right w:val="single" w:sz="4" w:space="0" w:color="auto"/>
            </w:tcBorders>
            <w:shd w:val="clear" w:color="auto" w:fill="auto"/>
            <w:vAlign w:val="center"/>
            <w:hideMark/>
          </w:tcPr>
          <w:p w14:paraId="69E0297A" w14:textId="77777777" w:rsidR="001A194A" w:rsidRPr="001A194A" w:rsidRDefault="001A194A" w:rsidP="001A194A">
            <w:pPr>
              <w:jc w:val="center"/>
              <w:rPr>
                <w:rFonts w:ascii="微软雅黑" w:eastAsia="微软雅黑" w:hAnsi="微软雅黑" w:cs="宋体"/>
                <w:kern w:val="0"/>
                <w:sz w:val="18"/>
                <w:szCs w:val="18"/>
              </w:rPr>
            </w:pPr>
          </w:p>
        </w:tc>
      </w:tr>
      <w:tr w:rsidR="001A194A" w:rsidRPr="001A194A" w14:paraId="07760D5B" w14:textId="77777777" w:rsidTr="00584AF2">
        <w:trPr>
          <w:trHeight w:val="1551"/>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4F456CEE"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房屋建筑类</w:t>
            </w:r>
          </w:p>
        </w:tc>
        <w:tc>
          <w:tcPr>
            <w:tcW w:w="2026" w:type="pct"/>
            <w:tcBorders>
              <w:top w:val="nil"/>
              <w:left w:val="nil"/>
              <w:bottom w:val="single" w:sz="4" w:space="0" w:color="auto"/>
              <w:right w:val="single" w:sz="4" w:space="0" w:color="auto"/>
            </w:tcBorders>
            <w:shd w:val="clear" w:color="auto" w:fill="auto"/>
            <w:vAlign w:val="center"/>
            <w:hideMark/>
          </w:tcPr>
          <w:p w14:paraId="3570CA91"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土木工程、工程力学、理论与应用力学、焊接技术与工程、工程管理、工程造价、安全工程等相关专业</w:t>
            </w:r>
          </w:p>
        </w:tc>
        <w:tc>
          <w:tcPr>
            <w:tcW w:w="1902" w:type="pct"/>
            <w:vMerge/>
            <w:tcBorders>
              <w:left w:val="nil"/>
              <w:right w:val="single" w:sz="4" w:space="0" w:color="auto"/>
            </w:tcBorders>
            <w:shd w:val="clear" w:color="auto" w:fill="auto"/>
            <w:vAlign w:val="center"/>
            <w:hideMark/>
          </w:tcPr>
          <w:p w14:paraId="4317E9ED" w14:textId="77777777" w:rsidR="001A194A" w:rsidRPr="001A194A" w:rsidRDefault="001A194A" w:rsidP="001A194A">
            <w:pPr>
              <w:jc w:val="center"/>
              <w:rPr>
                <w:rFonts w:ascii="微软雅黑" w:eastAsia="微软雅黑" w:hAnsi="微软雅黑" w:cs="宋体"/>
                <w:kern w:val="0"/>
                <w:sz w:val="18"/>
                <w:szCs w:val="18"/>
              </w:rPr>
            </w:pPr>
          </w:p>
        </w:tc>
      </w:tr>
      <w:tr w:rsidR="001A194A" w:rsidRPr="001A194A" w14:paraId="223034EE" w14:textId="77777777" w:rsidTr="00584AF2">
        <w:trPr>
          <w:trHeight w:val="1247"/>
        </w:trPr>
        <w:tc>
          <w:tcPr>
            <w:tcW w:w="1072" w:type="pct"/>
            <w:tcBorders>
              <w:top w:val="nil"/>
              <w:left w:val="single" w:sz="4" w:space="0" w:color="auto"/>
              <w:bottom w:val="single" w:sz="4" w:space="0" w:color="auto"/>
              <w:right w:val="single" w:sz="4" w:space="0" w:color="auto"/>
            </w:tcBorders>
            <w:shd w:val="clear" w:color="auto" w:fill="auto"/>
            <w:vAlign w:val="center"/>
            <w:hideMark/>
          </w:tcPr>
          <w:p w14:paraId="56EB10E2"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职能管理类</w:t>
            </w:r>
          </w:p>
        </w:tc>
        <w:tc>
          <w:tcPr>
            <w:tcW w:w="2026" w:type="pct"/>
            <w:tcBorders>
              <w:top w:val="nil"/>
              <w:left w:val="nil"/>
              <w:bottom w:val="single" w:sz="4" w:space="0" w:color="auto"/>
              <w:right w:val="single" w:sz="4" w:space="0" w:color="auto"/>
            </w:tcBorders>
            <w:shd w:val="clear" w:color="auto" w:fill="auto"/>
            <w:vAlign w:val="center"/>
            <w:hideMark/>
          </w:tcPr>
          <w:p w14:paraId="12F38A1E" w14:textId="77777777" w:rsidR="001A194A" w:rsidRPr="001A194A" w:rsidRDefault="001A194A" w:rsidP="001A194A">
            <w:pPr>
              <w:widowControl/>
              <w:jc w:val="center"/>
              <w:rPr>
                <w:rFonts w:ascii="微软雅黑" w:eastAsia="微软雅黑" w:hAnsi="微软雅黑" w:cs="宋体"/>
                <w:kern w:val="0"/>
                <w:sz w:val="18"/>
                <w:szCs w:val="18"/>
              </w:rPr>
            </w:pPr>
            <w:r w:rsidRPr="001A194A">
              <w:rPr>
                <w:rFonts w:ascii="微软雅黑" w:eastAsia="微软雅黑" w:hAnsi="微软雅黑" w:cs="宋体" w:hint="eastAsia"/>
                <w:kern w:val="0"/>
                <w:sz w:val="18"/>
                <w:szCs w:val="18"/>
              </w:rPr>
              <w:t>会计学、财务管理、税务学、审计学、金融学、经济学、人力资源管理、企业管理、行政管理、汉语言文学、心理学、应用心理学等相关专业</w:t>
            </w:r>
          </w:p>
        </w:tc>
        <w:tc>
          <w:tcPr>
            <w:tcW w:w="1902" w:type="pct"/>
            <w:vMerge/>
            <w:tcBorders>
              <w:left w:val="nil"/>
              <w:bottom w:val="single" w:sz="4" w:space="0" w:color="auto"/>
              <w:right w:val="single" w:sz="4" w:space="0" w:color="auto"/>
            </w:tcBorders>
            <w:shd w:val="clear" w:color="auto" w:fill="auto"/>
            <w:vAlign w:val="center"/>
            <w:hideMark/>
          </w:tcPr>
          <w:p w14:paraId="24065679" w14:textId="77777777" w:rsidR="001A194A" w:rsidRPr="001A194A" w:rsidRDefault="001A194A" w:rsidP="001A194A">
            <w:pPr>
              <w:widowControl/>
              <w:jc w:val="center"/>
              <w:rPr>
                <w:rFonts w:ascii="微软雅黑" w:eastAsia="微软雅黑" w:hAnsi="微软雅黑" w:cs="宋体"/>
                <w:kern w:val="0"/>
                <w:sz w:val="18"/>
                <w:szCs w:val="18"/>
              </w:rPr>
            </w:pPr>
          </w:p>
        </w:tc>
      </w:tr>
    </w:tbl>
    <w:p w14:paraId="2E6B4130" w14:textId="77777777" w:rsidR="001A194A" w:rsidRDefault="001A194A" w:rsidP="001A194A">
      <w:pPr>
        <w:spacing w:line="560" w:lineRule="exact"/>
        <w:rPr>
          <w:rFonts w:ascii="STFangsong" w:eastAsia="STFangsong" w:hAnsi="STFangsong"/>
          <w:b/>
          <w:bCs/>
          <w:sz w:val="28"/>
          <w:szCs w:val="28"/>
        </w:rPr>
      </w:pPr>
    </w:p>
    <w:p w14:paraId="63B0A727" w14:textId="77777777" w:rsidR="008B41D1" w:rsidRPr="001A194A" w:rsidRDefault="00547FDE" w:rsidP="001A194A">
      <w:pPr>
        <w:numPr>
          <w:ilvl w:val="0"/>
          <w:numId w:val="2"/>
        </w:numPr>
        <w:spacing w:line="560" w:lineRule="exact"/>
        <w:rPr>
          <w:rFonts w:ascii="STFangsong" w:eastAsia="STFangsong" w:hAnsi="STFangsong"/>
          <w:b/>
          <w:bCs/>
          <w:sz w:val="28"/>
          <w:szCs w:val="28"/>
        </w:rPr>
      </w:pPr>
      <w:r w:rsidRPr="001A194A">
        <w:rPr>
          <w:rFonts w:ascii="STFangsong" w:eastAsia="STFangsong" w:hAnsi="STFangsong" w:hint="eastAsia"/>
          <w:b/>
          <w:bCs/>
          <w:sz w:val="28"/>
          <w:szCs w:val="28"/>
        </w:rPr>
        <w:t>20</w:t>
      </w:r>
      <w:r w:rsidR="0053710A" w:rsidRPr="001A194A">
        <w:rPr>
          <w:rFonts w:ascii="STFangsong" w:eastAsia="STFangsong" w:hAnsi="STFangsong" w:hint="eastAsia"/>
          <w:b/>
          <w:bCs/>
          <w:sz w:val="28"/>
          <w:szCs w:val="28"/>
        </w:rPr>
        <w:t>21</w:t>
      </w:r>
      <w:r w:rsidRPr="001A194A">
        <w:rPr>
          <w:rFonts w:ascii="STFangsong" w:eastAsia="STFangsong" w:hAnsi="STFangsong" w:hint="eastAsia"/>
          <w:b/>
          <w:bCs/>
          <w:sz w:val="28"/>
          <w:szCs w:val="28"/>
        </w:rPr>
        <w:t>校园招聘二维码</w:t>
      </w:r>
    </w:p>
    <w:p w14:paraId="0B095F69" w14:textId="77777777" w:rsidR="008B41D1" w:rsidRDefault="0053710A">
      <w:pPr>
        <w:spacing w:line="560" w:lineRule="exact"/>
        <w:rPr>
          <w:rFonts w:ascii="STFangsong" w:eastAsia="STFangsong" w:hAnsi="STFangsong"/>
          <w:sz w:val="28"/>
          <w:szCs w:val="28"/>
        </w:rPr>
      </w:pPr>
      <w:r>
        <w:rPr>
          <w:rFonts w:ascii="STFangsong" w:eastAsia="STFangsong" w:hAnsi="STFangsong"/>
          <w:noProof/>
          <w:sz w:val="28"/>
          <w:szCs w:val="28"/>
        </w:rPr>
        <w:lastRenderedPageBreak/>
        <w:drawing>
          <wp:anchor distT="0" distB="0" distL="114300" distR="114300" simplePos="0" relativeHeight="251658240" behindDoc="0" locked="0" layoutInCell="1" allowOverlap="1" wp14:anchorId="212449F3" wp14:editId="0835A322">
            <wp:simplePos x="0" y="0"/>
            <wp:positionH relativeFrom="column">
              <wp:posOffset>1591945</wp:posOffset>
            </wp:positionH>
            <wp:positionV relativeFrom="paragraph">
              <wp:posOffset>29845</wp:posOffset>
            </wp:positionV>
            <wp:extent cx="2287270" cy="2286000"/>
            <wp:effectExtent l="19050" t="0" r="0" b="0"/>
            <wp:wrapNone/>
            <wp:docPr id="2" name="图片 1" descr="F:\绩效、考核、招聘、干部管理\招聘\2021招聘\校招出行准备\6、中建一局安装公司2020校招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绩效、考核、招聘、干部管理\招聘\2021招聘\校招出行准备\6、中建一局安装公司2020校招二维码.jpg"/>
                    <pic:cNvPicPr>
                      <a:picLocks noChangeAspect="1" noChangeArrowheads="1"/>
                    </pic:cNvPicPr>
                  </pic:nvPicPr>
                  <pic:blipFill>
                    <a:blip r:embed="rId8" cstate="print"/>
                    <a:srcRect/>
                    <a:stretch>
                      <a:fillRect/>
                    </a:stretch>
                  </pic:blipFill>
                  <pic:spPr bwMode="auto">
                    <a:xfrm>
                      <a:off x="0" y="0"/>
                      <a:ext cx="2287270" cy="2286000"/>
                    </a:xfrm>
                    <a:prstGeom prst="rect">
                      <a:avLst/>
                    </a:prstGeom>
                    <a:noFill/>
                    <a:ln w="9525">
                      <a:noFill/>
                      <a:miter lim="800000"/>
                      <a:headEnd/>
                      <a:tailEnd/>
                    </a:ln>
                  </pic:spPr>
                </pic:pic>
              </a:graphicData>
            </a:graphic>
          </wp:anchor>
        </w:drawing>
      </w:r>
    </w:p>
    <w:p w14:paraId="019DE344" w14:textId="77777777" w:rsidR="008B41D1" w:rsidRDefault="008B41D1">
      <w:pPr>
        <w:spacing w:line="560" w:lineRule="exact"/>
        <w:rPr>
          <w:rFonts w:ascii="STFangsong" w:eastAsia="STFangsong" w:hAnsi="STFangsong"/>
          <w:sz w:val="28"/>
          <w:szCs w:val="28"/>
        </w:rPr>
      </w:pPr>
    </w:p>
    <w:sectPr w:rsidR="008B41D1" w:rsidSect="008B41D1">
      <w:pgSz w:w="11907" w:h="16840"/>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3F4A" w14:textId="77777777" w:rsidR="00623879" w:rsidRDefault="00623879" w:rsidP="00DA18F4">
      <w:r>
        <w:separator/>
      </w:r>
    </w:p>
  </w:endnote>
  <w:endnote w:type="continuationSeparator" w:id="0">
    <w:p w14:paraId="62F5D6AA" w14:textId="77777777" w:rsidR="00623879" w:rsidRDefault="00623879" w:rsidP="00DA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Fangsong">
    <w:altName w:val="STFangsong"/>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02A5" w14:textId="77777777" w:rsidR="00623879" w:rsidRDefault="00623879" w:rsidP="00DA18F4">
      <w:r>
        <w:separator/>
      </w:r>
    </w:p>
  </w:footnote>
  <w:footnote w:type="continuationSeparator" w:id="0">
    <w:p w14:paraId="4729409A" w14:textId="77777777" w:rsidR="00623879" w:rsidRDefault="00623879" w:rsidP="00DA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81B1"/>
    <w:multiLevelType w:val="singleLevel"/>
    <w:tmpl w:val="1C1981B1"/>
    <w:lvl w:ilvl="0">
      <w:start w:val="5"/>
      <w:numFmt w:val="decimal"/>
      <w:suff w:val="nothing"/>
      <w:lvlText w:val="%1、"/>
      <w:lvlJc w:val="left"/>
    </w:lvl>
  </w:abstractNum>
  <w:abstractNum w:abstractNumId="1" w15:restartNumberingAfterBreak="0">
    <w:nsid w:val="52E31DDD"/>
    <w:multiLevelType w:val="singleLevel"/>
    <w:tmpl w:val="52E31DD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39F3"/>
    <w:rsid w:val="0005395C"/>
    <w:rsid w:val="000B4EDA"/>
    <w:rsid w:val="000E1E86"/>
    <w:rsid w:val="00112248"/>
    <w:rsid w:val="00132330"/>
    <w:rsid w:val="001A194A"/>
    <w:rsid w:val="001E5C48"/>
    <w:rsid w:val="00280A0C"/>
    <w:rsid w:val="00310036"/>
    <w:rsid w:val="003423F3"/>
    <w:rsid w:val="00397ECD"/>
    <w:rsid w:val="00416E0B"/>
    <w:rsid w:val="004539F3"/>
    <w:rsid w:val="0053710A"/>
    <w:rsid w:val="00547FDE"/>
    <w:rsid w:val="005F7215"/>
    <w:rsid w:val="00623879"/>
    <w:rsid w:val="00687DEF"/>
    <w:rsid w:val="006C4C08"/>
    <w:rsid w:val="00742BEA"/>
    <w:rsid w:val="00820FB4"/>
    <w:rsid w:val="00890CAD"/>
    <w:rsid w:val="008B3DB7"/>
    <w:rsid w:val="008B41D1"/>
    <w:rsid w:val="009803F9"/>
    <w:rsid w:val="00A23CDD"/>
    <w:rsid w:val="00A62A98"/>
    <w:rsid w:val="00B8712D"/>
    <w:rsid w:val="00BD640A"/>
    <w:rsid w:val="00BE4427"/>
    <w:rsid w:val="00CA2988"/>
    <w:rsid w:val="00D21D25"/>
    <w:rsid w:val="00D251D5"/>
    <w:rsid w:val="00D47E8D"/>
    <w:rsid w:val="00D633C3"/>
    <w:rsid w:val="00DA18F4"/>
    <w:rsid w:val="00DB03FF"/>
    <w:rsid w:val="00DF3E1A"/>
    <w:rsid w:val="00EE2E81"/>
    <w:rsid w:val="00EF7600"/>
    <w:rsid w:val="00F42099"/>
    <w:rsid w:val="00FA53CD"/>
    <w:rsid w:val="00FD406D"/>
    <w:rsid w:val="02E61B42"/>
    <w:rsid w:val="03012A03"/>
    <w:rsid w:val="03863047"/>
    <w:rsid w:val="040C0A35"/>
    <w:rsid w:val="04E31239"/>
    <w:rsid w:val="054C3938"/>
    <w:rsid w:val="05EB73D3"/>
    <w:rsid w:val="06597C34"/>
    <w:rsid w:val="0715307A"/>
    <w:rsid w:val="07317611"/>
    <w:rsid w:val="07BE4953"/>
    <w:rsid w:val="07E52B50"/>
    <w:rsid w:val="08023CEF"/>
    <w:rsid w:val="0830218E"/>
    <w:rsid w:val="083045CF"/>
    <w:rsid w:val="083E5F08"/>
    <w:rsid w:val="09021B96"/>
    <w:rsid w:val="09B6368C"/>
    <w:rsid w:val="0A4B45D4"/>
    <w:rsid w:val="0B113F61"/>
    <w:rsid w:val="0B1302A6"/>
    <w:rsid w:val="0BFF42CF"/>
    <w:rsid w:val="0C0E5498"/>
    <w:rsid w:val="0E833593"/>
    <w:rsid w:val="0EB91DA0"/>
    <w:rsid w:val="0ED81AAB"/>
    <w:rsid w:val="0FDE45B4"/>
    <w:rsid w:val="10811BC4"/>
    <w:rsid w:val="12361285"/>
    <w:rsid w:val="13907651"/>
    <w:rsid w:val="158501C0"/>
    <w:rsid w:val="164E0636"/>
    <w:rsid w:val="16D0355F"/>
    <w:rsid w:val="17CC2A62"/>
    <w:rsid w:val="19B63E8E"/>
    <w:rsid w:val="1A010279"/>
    <w:rsid w:val="1C52486F"/>
    <w:rsid w:val="1CC72B85"/>
    <w:rsid w:val="1D155E6B"/>
    <w:rsid w:val="1DD33B6F"/>
    <w:rsid w:val="1F181316"/>
    <w:rsid w:val="1FFF0585"/>
    <w:rsid w:val="1FFF08C2"/>
    <w:rsid w:val="21C4329B"/>
    <w:rsid w:val="230924AE"/>
    <w:rsid w:val="266D2CE8"/>
    <w:rsid w:val="28FD4C70"/>
    <w:rsid w:val="29E945F6"/>
    <w:rsid w:val="2C8158CC"/>
    <w:rsid w:val="2E6641B7"/>
    <w:rsid w:val="2FA46E44"/>
    <w:rsid w:val="2FDF468A"/>
    <w:rsid w:val="2FE67925"/>
    <w:rsid w:val="32477843"/>
    <w:rsid w:val="32ED62E0"/>
    <w:rsid w:val="33026B6E"/>
    <w:rsid w:val="355E1C7E"/>
    <w:rsid w:val="371F0AA6"/>
    <w:rsid w:val="3B5024D3"/>
    <w:rsid w:val="3B7F2A4C"/>
    <w:rsid w:val="3D325260"/>
    <w:rsid w:val="3D9D386D"/>
    <w:rsid w:val="3DB66FB7"/>
    <w:rsid w:val="3E826035"/>
    <w:rsid w:val="3F8D326B"/>
    <w:rsid w:val="3FD32DF1"/>
    <w:rsid w:val="3FF30299"/>
    <w:rsid w:val="41A40705"/>
    <w:rsid w:val="425E06CF"/>
    <w:rsid w:val="44BD3624"/>
    <w:rsid w:val="468948F4"/>
    <w:rsid w:val="46960A96"/>
    <w:rsid w:val="46CA5881"/>
    <w:rsid w:val="48A416C6"/>
    <w:rsid w:val="4CF05C69"/>
    <w:rsid w:val="4D3A25CC"/>
    <w:rsid w:val="503947D5"/>
    <w:rsid w:val="50B20A24"/>
    <w:rsid w:val="52B71D65"/>
    <w:rsid w:val="52C83B9E"/>
    <w:rsid w:val="53227EDB"/>
    <w:rsid w:val="539606AC"/>
    <w:rsid w:val="5523549E"/>
    <w:rsid w:val="57F77EB1"/>
    <w:rsid w:val="582550EC"/>
    <w:rsid w:val="598C68C3"/>
    <w:rsid w:val="5ACC7EA4"/>
    <w:rsid w:val="5C3E7435"/>
    <w:rsid w:val="5D1F2F99"/>
    <w:rsid w:val="5E075173"/>
    <w:rsid w:val="5F4E03E3"/>
    <w:rsid w:val="61751FDC"/>
    <w:rsid w:val="631A2CD3"/>
    <w:rsid w:val="64B85928"/>
    <w:rsid w:val="6503768F"/>
    <w:rsid w:val="65D11E2F"/>
    <w:rsid w:val="68E060C9"/>
    <w:rsid w:val="69440966"/>
    <w:rsid w:val="6A9C3F92"/>
    <w:rsid w:val="6B020B90"/>
    <w:rsid w:val="6E8C7B3D"/>
    <w:rsid w:val="72C864A3"/>
    <w:rsid w:val="730A4F64"/>
    <w:rsid w:val="74531887"/>
    <w:rsid w:val="75CA14E2"/>
    <w:rsid w:val="77D04D80"/>
    <w:rsid w:val="7A06151E"/>
    <w:rsid w:val="7AE8724E"/>
    <w:rsid w:val="7CF1379D"/>
    <w:rsid w:val="7DDC73EC"/>
    <w:rsid w:val="7EB6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1AC777F1"/>
  <w15:docId w15:val="{7E552EE9-6E78-433E-ABD0-AD06F617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1D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B41D1"/>
    <w:pPr>
      <w:tabs>
        <w:tab w:val="center" w:pos="4153"/>
        <w:tab w:val="right" w:pos="8306"/>
      </w:tabs>
      <w:snapToGrid w:val="0"/>
      <w:jc w:val="left"/>
    </w:pPr>
    <w:rPr>
      <w:sz w:val="18"/>
      <w:szCs w:val="18"/>
    </w:rPr>
  </w:style>
  <w:style w:type="paragraph" w:styleId="a5">
    <w:name w:val="header"/>
    <w:basedOn w:val="a"/>
    <w:link w:val="a6"/>
    <w:uiPriority w:val="99"/>
    <w:unhideWhenUsed/>
    <w:qFormat/>
    <w:rsid w:val="008B41D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sid w:val="008B41D1"/>
    <w:rPr>
      <w:color w:val="800080"/>
      <w:u w:val="single"/>
    </w:rPr>
  </w:style>
  <w:style w:type="character" w:styleId="a8">
    <w:name w:val="Hyperlink"/>
    <w:basedOn w:val="a0"/>
    <w:uiPriority w:val="99"/>
    <w:unhideWhenUsed/>
    <w:qFormat/>
    <w:rsid w:val="008B41D1"/>
    <w:rPr>
      <w:color w:val="0000FF" w:themeColor="hyperlink"/>
      <w:u w:val="single"/>
    </w:rPr>
  </w:style>
  <w:style w:type="character" w:customStyle="1" w:styleId="a6">
    <w:name w:val="页眉 字符"/>
    <w:basedOn w:val="a0"/>
    <w:link w:val="a5"/>
    <w:uiPriority w:val="99"/>
    <w:qFormat/>
    <w:rsid w:val="008B41D1"/>
    <w:rPr>
      <w:sz w:val="18"/>
      <w:szCs w:val="18"/>
    </w:rPr>
  </w:style>
  <w:style w:type="character" w:customStyle="1" w:styleId="a4">
    <w:name w:val="页脚 字符"/>
    <w:basedOn w:val="a0"/>
    <w:link w:val="a3"/>
    <w:uiPriority w:val="99"/>
    <w:qFormat/>
    <w:rsid w:val="008B41D1"/>
    <w:rPr>
      <w:sz w:val="18"/>
      <w:szCs w:val="18"/>
    </w:rPr>
  </w:style>
  <w:style w:type="paragraph" w:styleId="a9">
    <w:name w:val="List Paragraph"/>
    <w:basedOn w:val="a"/>
    <w:uiPriority w:val="99"/>
    <w:unhideWhenUsed/>
    <w:rsid w:val="00FD406D"/>
    <w:pPr>
      <w:ind w:firstLineChars="200" w:firstLine="420"/>
    </w:pPr>
  </w:style>
  <w:style w:type="paragraph" w:styleId="aa">
    <w:name w:val="Balloon Text"/>
    <w:basedOn w:val="a"/>
    <w:link w:val="ab"/>
    <w:uiPriority w:val="99"/>
    <w:semiHidden/>
    <w:unhideWhenUsed/>
    <w:rsid w:val="0053710A"/>
    <w:rPr>
      <w:sz w:val="18"/>
      <w:szCs w:val="18"/>
    </w:rPr>
  </w:style>
  <w:style w:type="character" w:customStyle="1" w:styleId="ab">
    <w:name w:val="批注框文本 字符"/>
    <w:basedOn w:val="a0"/>
    <w:link w:val="aa"/>
    <w:uiPriority w:val="99"/>
    <w:semiHidden/>
    <w:rsid w:val="0053710A"/>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283</Words>
  <Characters>1617</Characters>
  <Application>Microsoft Office Word</Application>
  <DocSecurity>0</DocSecurity>
  <Lines>13</Lines>
  <Paragraphs>3</Paragraphs>
  <ScaleCrop>false</ScaleCrop>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dc:creator>
  <cp:lastModifiedBy>孙 丹</cp:lastModifiedBy>
  <cp:revision>13</cp:revision>
  <cp:lastPrinted>2018-08-19T08:06:00Z</cp:lastPrinted>
  <dcterms:created xsi:type="dcterms:W3CDTF">2018-08-20T08:28:00Z</dcterms:created>
  <dcterms:modified xsi:type="dcterms:W3CDTF">2020-09-10T12:51:00Z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